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 (Web)"/>
        <w:shd w:val="clear" w:color="auto" w:fill="ffffff"/>
        <w:rPr>
          <w:rFonts w:ascii="Century Gothic" w:cs="Century Gothic" w:hAnsi="Century Gothic" w:eastAsia="Century Gothic"/>
          <w:outline w:val="0"/>
          <w:color w:val="242424"/>
          <w:sz w:val="21"/>
          <w:szCs w:val="21"/>
          <w:u w:color="242424"/>
          <w14:textFill>
            <w14:solidFill>
              <w14:srgbClr w14:val="242424"/>
            </w14:solidFill>
          </w14:textFill>
        </w:rPr>
      </w:pPr>
      <w:r>
        <w:rPr>
          <w:rFonts w:ascii="Century Gothic" w:hAnsi="Century Gothic"/>
          <w:b w:val="1"/>
          <w:bCs w:val="1"/>
          <w:outline w:val="0"/>
          <w:color w:val="242424"/>
          <w:sz w:val="21"/>
          <w:szCs w:val="21"/>
          <w:u w:color="242424"/>
          <w:rtl w:val="0"/>
          <w:lang w:val="en-US"/>
          <w14:textFill>
            <w14:solidFill>
              <w14:srgbClr w14:val="242424"/>
            </w14:solidFill>
          </w14:textFill>
        </w:rPr>
        <w:t>Disclaimer and Waiver</w:t>
      </w:r>
    </w:p>
    <w:p>
      <w:pPr>
        <w:pStyle w:val="Normal (Web)"/>
        <w:shd w:val="clear" w:color="auto" w:fill="ffffff"/>
        <w:rPr>
          <w:rFonts w:ascii="Century Gothic" w:cs="Century Gothic" w:hAnsi="Century Gothic" w:eastAsia="Century Gothic"/>
          <w:outline w:val="0"/>
          <w:color w:val="242424"/>
          <w:sz w:val="21"/>
          <w:szCs w:val="21"/>
          <w:u w:color="242424"/>
          <w14:textFill>
            <w14:solidFill>
              <w14:srgbClr w14:val="242424"/>
            </w14:solidFill>
          </w14:textFill>
        </w:rPr>
      </w:pPr>
      <w:r>
        <w:rPr>
          <w:rFonts w:ascii="Century Gothic" w:hAnsi="Century Gothic"/>
          <w:outline w:val="0"/>
          <w:color w:val="242424"/>
          <w:sz w:val="21"/>
          <w:szCs w:val="21"/>
          <w:u w:color="242424"/>
          <w:rtl w:val="0"/>
          <w:lang w:val="en-US"/>
          <w14:textFill>
            <w14:solidFill>
              <w14:srgbClr w14:val="242424"/>
            </w14:solidFill>
          </w14:textFill>
        </w:rPr>
        <w:t xml:space="preserve">ABCT intends to take photographs and video of this event for use in the </w:t>
      </w:r>
      <w:r>
        <w:rPr>
          <w:rFonts w:ascii="Century Gothic" w:hAnsi="Century Gothic"/>
          <w:i w:val="1"/>
          <w:iCs w:val="1"/>
          <w:outline w:val="0"/>
          <w:color w:val="242424"/>
          <w:sz w:val="21"/>
          <w:szCs w:val="21"/>
          <w:u w:color="242424"/>
          <w:rtl w:val="0"/>
          <w:lang w:val="en-US"/>
          <w14:textFill>
            <w14:solidFill>
              <w14:srgbClr w14:val="242424"/>
            </w14:solidFill>
          </w14:textFill>
        </w:rPr>
        <w:t>Behavior Therapist and</w:t>
      </w:r>
      <w:r>
        <w:rPr>
          <w:rFonts w:ascii="Century Gothic" w:hAnsi="Century Gothic"/>
          <w:outline w:val="0"/>
          <w:color w:val="242424"/>
          <w:sz w:val="21"/>
          <w:szCs w:val="21"/>
          <w:u w:color="242424"/>
          <w:rtl w:val="0"/>
          <w:lang w:val="en-US"/>
          <w14:textFill>
            <w14:solidFill>
              <w14:srgbClr w14:val="242424"/>
            </w14:solidFill>
          </w14:textFill>
        </w:rPr>
        <w:t xml:space="preserve"> promotional material, in print, electronic and other media, including the ABCT website. By participating in this event, I grant ABCT the right to use any image, photograph, voice or likeness, without limitation, in its promotional materials and publicity efforts without compensation. All media become the property of ABCT. Media may be displayed, distributed or used by ABCT for any purpose.</w:t>
      </w:r>
    </w:p>
    <w:p>
      <w:pPr>
        <w:pStyle w:val="Normal (Web)"/>
        <w:shd w:val="clear" w:color="auto" w:fill="ffffff"/>
        <w:rPr>
          <w:rFonts w:ascii="Century Gothic" w:cs="Century Gothic" w:hAnsi="Century Gothic" w:eastAsia="Century Gothic"/>
          <w:outline w:val="0"/>
          <w:color w:val="242424"/>
          <w:sz w:val="21"/>
          <w:szCs w:val="21"/>
          <w:u w:color="242424"/>
          <w14:textFill>
            <w14:solidFill>
              <w14:srgbClr w14:val="242424"/>
            </w14:solidFill>
          </w14:textFill>
        </w:rPr>
      </w:pPr>
    </w:p>
    <w:p>
      <w:pPr>
        <w:pStyle w:val="Normal (Web)"/>
        <w:shd w:val="clear" w:color="auto" w:fill="ffffff"/>
        <w:rPr>
          <w:rFonts w:ascii="Century Gothic" w:cs="Century Gothic" w:hAnsi="Century Gothic" w:eastAsia="Century Gothic"/>
          <w:outline w:val="0"/>
          <w:color w:val="242424"/>
          <w:sz w:val="21"/>
          <w:szCs w:val="21"/>
          <w:u w:color="242424"/>
          <w14:textFill>
            <w14:solidFill>
              <w14:srgbClr w14:val="242424"/>
            </w14:solidFill>
          </w14:textFill>
        </w:rPr>
      </w:pPr>
      <w:r>
        <w:rPr>
          <w:rFonts w:ascii="Century Gothic" w:hAnsi="Century Gothic"/>
          <w:b w:val="1"/>
          <w:bCs w:val="1"/>
          <w:outline w:val="0"/>
          <w:color w:val="242424"/>
          <w:sz w:val="21"/>
          <w:szCs w:val="21"/>
          <w:u w:color="242424"/>
          <w:rtl w:val="0"/>
          <w:lang w:val="en-US"/>
          <w14:textFill>
            <w14:solidFill>
              <w14:srgbClr w14:val="242424"/>
            </w14:solidFill>
          </w14:textFill>
        </w:rPr>
        <w:t>Privacy Policy</w:t>
      </w:r>
    </w:p>
    <w:p>
      <w:pPr>
        <w:pStyle w:val="Normal (Web)"/>
        <w:shd w:val="clear" w:color="auto" w:fill="ffffff"/>
        <w:rPr>
          <w:rFonts w:ascii="Century Gothic" w:cs="Century Gothic" w:hAnsi="Century Gothic" w:eastAsia="Century Gothic"/>
          <w:outline w:val="0"/>
          <w:color w:val="242424"/>
          <w:sz w:val="21"/>
          <w:szCs w:val="21"/>
          <w:u w:color="242424"/>
          <w14:textFill>
            <w14:solidFill>
              <w14:srgbClr w14:val="242424"/>
            </w14:solidFill>
          </w14:textFill>
        </w:rPr>
      </w:pPr>
      <w:r>
        <w:rPr>
          <w:rFonts w:ascii="Century Gothic" w:hAnsi="Century Gothic"/>
          <w:outline w:val="0"/>
          <w:color w:val="242424"/>
          <w:sz w:val="21"/>
          <w:szCs w:val="21"/>
          <w:u w:color="242424"/>
          <w:rtl w:val="0"/>
          <w:lang w:val="en-US"/>
          <w14:textFill>
            <w14:solidFill>
              <w14:srgbClr w14:val="242424"/>
            </w14:solidFill>
          </w14:textFill>
        </w:rPr>
        <w:t>Your data privacy and security are important to us. When you register for this event, ABCT will process your data in accordance with our legitimate interests for hosting an association event and for being a community-based organization. Please review our privacy policy, including how to exercise your rights under the GDPR.</w:t>
      </w:r>
    </w:p>
    <w:p>
      <w:pPr>
        <w:pStyle w:val="Body"/>
        <w:shd w:val="clear" w:color="auto" w:fill="ffffff"/>
        <w:spacing w:before="100" w:after="100" w:line="240" w:lineRule="auto"/>
        <w:rPr>
          <w:rFonts w:ascii="Century Gothic" w:cs="Century Gothic" w:hAnsi="Century Gothic" w:eastAsia="Century Gothic"/>
          <w:outline w:val="0"/>
          <w:color w:val="242424"/>
          <w:sz w:val="21"/>
          <w:szCs w:val="21"/>
          <w:u w:color="242424"/>
          <w14:textFill>
            <w14:solidFill>
              <w14:srgbClr w14:val="242424"/>
            </w14:solidFill>
          </w14:textFill>
        </w:rPr>
      </w:pPr>
    </w:p>
    <w:p>
      <w:pPr>
        <w:pStyle w:val="Body"/>
        <w:shd w:val="clear" w:color="auto" w:fill="ffffff"/>
        <w:spacing w:before="100" w:after="100" w:line="240" w:lineRule="auto"/>
        <w:rPr>
          <w:rFonts w:ascii="Century Gothic" w:cs="Century Gothic" w:hAnsi="Century Gothic" w:eastAsia="Century Gothic"/>
          <w:outline w:val="0"/>
          <w:color w:val="242424"/>
          <w:sz w:val="21"/>
          <w:szCs w:val="21"/>
          <w:u w:color="242424"/>
          <w14:textFill>
            <w14:solidFill>
              <w14:srgbClr w14:val="242424"/>
            </w14:solidFill>
          </w14:textFill>
        </w:rPr>
      </w:pPr>
      <w:r>
        <w:rPr>
          <w:rFonts w:ascii="Century Gothic" w:hAnsi="Century Gothic"/>
          <w:b w:val="1"/>
          <w:bCs w:val="1"/>
          <w:outline w:val="0"/>
          <w:color w:val="242424"/>
          <w:sz w:val="21"/>
          <w:szCs w:val="21"/>
          <w:u w:color="242424"/>
          <w:rtl w:val="0"/>
          <w:lang w:val="en-US"/>
          <w14:textFill>
            <w14:solidFill>
              <w14:srgbClr w14:val="242424"/>
            </w14:solidFill>
          </w14:textFill>
        </w:rPr>
        <w:t>Cancellation Policy</w:t>
      </w:r>
      <w:r>
        <w:rPr>
          <w:rFonts w:ascii="Century Gothic" w:cs="Century Gothic" w:hAnsi="Century Gothic" w:eastAsia="Century Gothic"/>
          <w:outline w:val="0"/>
          <w:color w:val="242424"/>
          <w:sz w:val="21"/>
          <w:szCs w:val="21"/>
          <w:u w:color="242424"/>
          <w14:textFill>
            <w14:solidFill>
              <w14:srgbClr w14:val="242424"/>
            </w14:solidFill>
          </w14:textFill>
        </w:rPr>
        <w:br w:type="textWrapping"/>
      </w:r>
      <w:r>
        <w:rPr>
          <w:rFonts w:ascii="Century Gothic" w:hAnsi="Century Gothic"/>
          <w:outline w:val="0"/>
          <w:color w:val="242424"/>
          <w:sz w:val="21"/>
          <w:szCs w:val="21"/>
          <w:u w:color="242424"/>
          <w:rtl w:val="0"/>
          <w:lang w:val="en-US"/>
          <w14:textFill>
            <w14:solidFill>
              <w14:srgbClr w14:val="242424"/>
            </w14:solidFill>
          </w14:textFill>
        </w:rPr>
        <w:t>Cancellation of registration as an in-person attendee must be submitted in writing via email and must be dated on or before 5:00 p.m. Eastern Time on Sunday, October 15, 2023 to receive a refund less a $50 USD registration cancellation processing fee. After October 15, 2023 at 5:00 p.m. Eastern Time no refunds will be granted.</w:t>
      </w:r>
      <w:r>
        <w:rPr>
          <w:rFonts w:ascii="Century Gothic" w:hAnsi="Century Gothic" w:hint="default"/>
          <w:outline w:val="0"/>
          <w:color w:val="242424"/>
          <w:sz w:val="21"/>
          <w:szCs w:val="21"/>
          <w:u w:color="242424"/>
          <w:rtl w:val="0"/>
          <w:lang w:val="en-US"/>
          <w14:textFill>
            <w14:solidFill>
              <w14:srgbClr w14:val="242424"/>
            </w14:solidFill>
          </w14:textFill>
        </w:rPr>
        <w:t> </w:t>
      </w:r>
      <w:r>
        <w:rPr>
          <w:rFonts w:ascii="Century Gothic" w:cs="Century Gothic" w:hAnsi="Century Gothic" w:eastAsia="Century Gothic"/>
          <w:outline w:val="0"/>
          <w:color w:val="242424"/>
          <w:sz w:val="21"/>
          <w:szCs w:val="21"/>
          <w:u w:color="242424"/>
          <w14:textFill>
            <w14:solidFill>
              <w14:srgbClr w14:val="242424"/>
            </w14:solidFill>
          </w14:textFill>
        </w:rPr>
        <w:br w:type="textWrapping"/>
        <w:br w:type="textWrapping"/>
      </w:r>
      <w:r>
        <w:rPr>
          <w:rFonts w:ascii="Century Gothic" w:hAnsi="Century Gothic"/>
          <w:outline w:val="0"/>
          <w:color w:val="242424"/>
          <w:sz w:val="21"/>
          <w:szCs w:val="21"/>
          <w:u w:color="242424"/>
          <w:rtl w:val="0"/>
          <w:lang w:val="en-US"/>
          <w14:textFill>
            <w14:solidFill>
              <w14:srgbClr w14:val="242424"/>
            </w14:solidFill>
          </w14:textFill>
        </w:rPr>
        <w:t>Cancellation for the ABCT Annual Convention does not cancel membership dues paid during the registration process.</w:t>
      </w:r>
      <w:r>
        <w:rPr>
          <w:rFonts w:ascii="Century Gothic" w:hAnsi="Century Gothic" w:hint="default"/>
          <w:outline w:val="0"/>
          <w:color w:val="242424"/>
          <w:sz w:val="21"/>
          <w:szCs w:val="21"/>
          <w:u w:color="242424"/>
          <w:rtl w:val="0"/>
          <w:lang w:val="en-US"/>
          <w14:textFill>
            <w14:solidFill>
              <w14:srgbClr w14:val="242424"/>
            </w14:solidFill>
          </w14:textFill>
        </w:rPr>
        <w:t> </w:t>
      </w:r>
    </w:p>
    <w:p>
      <w:pPr>
        <w:pStyle w:val="Body"/>
        <w:shd w:val="clear" w:color="auto" w:fill="ffffff"/>
        <w:spacing w:before="100" w:after="100" w:line="240" w:lineRule="auto"/>
        <w:rPr>
          <w:rFonts w:ascii="Century Gothic" w:cs="Century Gothic" w:hAnsi="Century Gothic" w:eastAsia="Century Gothic"/>
          <w:outline w:val="0"/>
          <w:color w:val="242424"/>
          <w:sz w:val="21"/>
          <w:szCs w:val="21"/>
          <w:u w:color="242424"/>
          <w14:textFill>
            <w14:solidFill>
              <w14:srgbClr w14:val="242424"/>
            </w14:solidFill>
          </w14:textFill>
        </w:rPr>
      </w:pPr>
    </w:p>
    <w:p>
      <w:pPr>
        <w:pStyle w:val="Body"/>
        <w:shd w:val="clear" w:color="auto" w:fill="ffffff"/>
        <w:spacing w:before="100" w:after="100" w:line="240" w:lineRule="auto"/>
      </w:pPr>
      <w:r>
        <w:rPr>
          <w:rFonts w:ascii="Century Gothic" w:hAnsi="Century Gothic"/>
          <w:b w:val="1"/>
          <w:bCs w:val="1"/>
          <w:outline w:val="0"/>
          <w:color w:val="242424"/>
          <w:sz w:val="21"/>
          <w:szCs w:val="21"/>
          <w:u w:color="242424"/>
          <w:rtl w:val="0"/>
          <w:lang w:val="en-US"/>
          <w14:textFill>
            <w14:solidFill>
              <w14:srgbClr w14:val="242424"/>
            </w14:solidFill>
          </w14:textFill>
        </w:rPr>
        <w:t>Substitution Policy</w:t>
      </w:r>
      <w:r>
        <w:rPr>
          <w:rFonts w:ascii="Century Gothic" w:cs="Century Gothic" w:hAnsi="Century Gothic" w:eastAsia="Century Gothic"/>
          <w:outline w:val="0"/>
          <w:color w:val="242424"/>
          <w:sz w:val="21"/>
          <w:szCs w:val="21"/>
          <w:u w:color="242424"/>
          <w14:textFill>
            <w14:solidFill>
              <w14:srgbClr w14:val="242424"/>
            </w14:solidFill>
          </w14:textFill>
        </w:rPr>
        <w:br w:type="textWrapping"/>
      </w:r>
      <w:r>
        <w:rPr>
          <w:rFonts w:ascii="Century Gothic" w:hAnsi="Century Gothic"/>
          <w:outline w:val="0"/>
          <w:color w:val="242424"/>
          <w:sz w:val="21"/>
          <w:szCs w:val="21"/>
          <w:u w:color="242424"/>
          <w:rtl w:val="0"/>
          <w:lang w:val="en-US"/>
          <w14:textFill>
            <w14:solidFill>
              <w14:srgbClr w14:val="242424"/>
            </w14:solidFill>
          </w14:textFill>
        </w:rPr>
        <w:t>Replacement of a registered ABCT attendee by a business colleague/co-worker will be accepted. A $50 USD processing fee will apply to all substitutions if notified in writing by 5:00 p.m. Eastern Time Sunday, October 27,</w:t>
      </w:r>
      <w:r>
        <w:rPr>
          <w:rFonts w:ascii="Century Gothic" w:hAnsi="Century Gothic" w:hint="default"/>
          <w:outline w:val="0"/>
          <w:color w:val="242424"/>
          <w:sz w:val="21"/>
          <w:szCs w:val="21"/>
          <w:u w:color="242424"/>
          <w:rtl w:val="0"/>
          <w:lang w:val="en-US"/>
          <w14:textFill>
            <w14:solidFill>
              <w14:srgbClr w14:val="242424"/>
            </w14:solidFill>
          </w14:textFill>
        </w:rPr>
        <w:t> </w:t>
      </w:r>
      <w:r>
        <w:rPr>
          <w:rFonts w:ascii="Century Gothic" w:hAnsi="Century Gothic"/>
          <w:outline w:val="0"/>
          <w:color w:val="242424"/>
          <w:sz w:val="21"/>
          <w:szCs w:val="21"/>
          <w:u w:color="242424"/>
          <w:rtl w:val="0"/>
          <w:lang w:val="en-US"/>
          <w14:textFill>
            <w14:solidFill>
              <w14:srgbClr w14:val="242424"/>
            </w14:solidFill>
          </w14:textFill>
        </w:rPr>
        <w:t>2023. After Friday, October 27, 2023 no substitutions will be allowed, all substitution requests will be treated as full cancellations of the original registration and subject to the reduced processing fee of $100. The original</w:t>
      </w:r>
      <w:r>
        <w:rPr>
          <w:rFonts w:ascii="Century Gothic" w:hAnsi="Century Gothic" w:hint="default"/>
          <w:outline w:val="0"/>
          <w:color w:val="242424"/>
          <w:sz w:val="21"/>
          <w:szCs w:val="21"/>
          <w:u w:color="242424"/>
          <w:rtl w:val="0"/>
          <w:lang w:val="en-US"/>
          <w14:textFill>
            <w14:solidFill>
              <w14:srgbClr w14:val="242424"/>
            </w14:solidFill>
          </w14:textFill>
        </w:rPr>
        <w:t> </w:t>
      </w:r>
      <w:r>
        <w:rPr>
          <w:rFonts w:ascii="Century Gothic" w:hAnsi="Century Gothic"/>
          <w:outline w:val="0"/>
          <w:color w:val="242424"/>
          <w:sz w:val="21"/>
          <w:szCs w:val="21"/>
          <w:u w:color="242424"/>
          <w:rtl w:val="0"/>
          <w:lang w:val="en-US"/>
          <w14:textFill>
            <w14:solidFill>
              <w14:srgbClr w14:val="242424"/>
            </w14:solidFill>
          </w14:textFill>
        </w:rPr>
        <w:t>registration will be refunded minus the processing fee and the new registrant must register as a new attendee to complete registration and housing. The new registrant must be named in the written notification and register before the original registrant is refunded. If the original registrant was registered as a ABCT member, the new registrant must also be a member or join membership upon registering.</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entury Gothic">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